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95" w:rsidRPr="00113395" w:rsidRDefault="00113395" w:rsidP="00113395">
      <w:pPr>
        <w:shd w:val="clear" w:color="auto" w:fill="FFFFFF"/>
        <w:spacing w:before="100" w:beforeAutospacing="1" w:after="120" w:line="240" w:lineRule="auto"/>
        <w:outlineLvl w:val="0"/>
        <w:rPr>
          <w:rFonts w:ascii="Arial" w:eastAsia="Times New Roman" w:hAnsi="Arial" w:cs="Arial"/>
          <w:caps/>
          <w:color w:val="000000"/>
          <w:spacing w:val="24"/>
          <w:kern w:val="36"/>
          <w:sz w:val="48"/>
          <w:szCs w:val="48"/>
          <w:lang w:eastAsia="ru-RU"/>
        </w:rPr>
      </w:pPr>
      <w:r w:rsidRPr="00113395">
        <w:rPr>
          <w:rFonts w:ascii="Arial" w:eastAsia="Times New Roman" w:hAnsi="Arial" w:cs="Arial"/>
          <w:caps/>
          <w:color w:val="000000"/>
          <w:spacing w:val="24"/>
          <w:kern w:val="36"/>
          <w:sz w:val="48"/>
          <w:szCs w:val="48"/>
          <w:lang w:eastAsia="ru-RU"/>
        </w:rPr>
        <w:t>ПЕРЕВОЗКА ЖЕЛЕЗНОДОРОЖНЫМ ТРАНСПОРТОМ ОРГАНИЗОВАННЫХ ГРУПП ДЕТЕЙ: НОВЫЕ ТРЕБОВАНИЯ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hyperlink r:id="rId4" w:history="1">
        <w:r w:rsidRPr="00113395">
          <w:rPr>
            <w:rFonts w:ascii="Arial" w:eastAsia="Times New Roman" w:hAnsi="Arial" w:cs="Arial"/>
            <w:color w:val="8100A6"/>
            <w:sz w:val="18"/>
            <w:u w:val="single"/>
            <w:lang w:eastAsia="ru-RU"/>
          </w:rPr>
          <w:t>«</w:t>
        </w:r>
        <w:proofErr w:type="spellStart"/>
        <w:r w:rsidRPr="00113395">
          <w:rPr>
            <w:rFonts w:ascii="Arial" w:eastAsia="Times New Roman" w:hAnsi="Arial" w:cs="Arial"/>
            <w:color w:val="8100A6"/>
            <w:sz w:val="18"/>
            <w:u w:val="single"/>
            <w:lang w:eastAsia="ru-RU"/>
          </w:rPr>
          <w:t>Санэпидконтроль</w:t>
        </w:r>
        <w:proofErr w:type="spellEnd"/>
        <w:r w:rsidRPr="00113395">
          <w:rPr>
            <w:rFonts w:ascii="Arial" w:eastAsia="Times New Roman" w:hAnsi="Arial" w:cs="Arial"/>
            <w:color w:val="8100A6"/>
            <w:sz w:val="18"/>
            <w:u w:val="single"/>
            <w:lang w:eastAsia="ru-RU"/>
          </w:rPr>
          <w:t>. Охрана труда» №4 2014</w:t>
        </w:r>
      </w:hyperlink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 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/</w:t>
      </w: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 </w:t>
      </w:r>
      <w:hyperlink r:id="rId5" w:history="1">
        <w:r w:rsidRPr="00113395">
          <w:rPr>
            <w:rFonts w:ascii="Arial" w:eastAsia="Times New Roman" w:hAnsi="Arial" w:cs="Arial"/>
            <w:color w:val="8100A6"/>
            <w:sz w:val="18"/>
            <w:u w:val="single"/>
            <w:lang w:eastAsia="ru-RU"/>
          </w:rPr>
          <w:t>Гигиена детей и подростков</w:t>
        </w:r>
      </w:hyperlink>
    </w:p>
    <w:p w:rsidR="00113395" w:rsidRPr="00113395" w:rsidRDefault="00113395" w:rsidP="0011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395">
        <w:rPr>
          <w:rFonts w:ascii="Verdana" w:eastAsia="Times New Roman" w:hAnsi="Verdana" w:cs="Arial"/>
          <w:color w:val="525252"/>
          <w:sz w:val="15"/>
          <w:lang w:eastAsia="ru-RU"/>
        </w:rPr>
        <w:t>Поделиться…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Постановлением Главного государственного санитарного врача РФ от 21.01.2014 № 3 утверждены СП 2.5.3157-14 «Санитарно-эпидемиологические требования к перевозке железнодорожным транспортом организованных групп детей». Данный нормативный правовой а</w:t>
      </w:r>
      <w:proofErr w:type="gramStart"/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кт вст</w:t>
      </w:r>
      <w:proofErr w:type="gramEnd"/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упил в силу 13 апреля 2014 г., а значит, уже в нынешнем летнем сезоне при доставке детей в места отдыха и оздоровления железнодорожным транспортом необходимо руководствоваться новыми санитарно-эпидемиологическими правилами, которые мы и рассмотрим в статье.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 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СП 2.5.3157-14 устанавливают требования к условиям перевозки железнодорожным транспортом организованных групп детей, продолжительность </w:t>
      </w: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пути</w:t>
      </w:r>
      <w:proofErr w:type="gram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следования которых свыше 10 часов. Их соблюдение является обязательным для всех юридических и физических лиц, а также индивидуальных предпринимателей, участвующих в организации поездок групп детей и подростков в количестве не менее 8 человек и в возрасте до 18 лет железнодорожным транспортом к месту назначения и обратно. При осуществлении перевозок организованных групп детей должны также соблюдаться санитарные правила по организации пассажирских перевозок на железнодорожном транспорте</w:t>
      </w:r>
      <w:bookmarkStart w:id="0" w:name="_ftnref1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fldChar w:fldCharType="begin"/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instrText xml:space="preserve"> HYPERLINK "https://www.profiz.ru/sec/4_2014/perevozka_detei_jd/" \l "_ftn1" \o "" </w:instrTex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fldChar w:fldCharType="separate"/>
      </w:r>
      <w:r w:rsidRPr="00113395">
        <w:rPr>
          <w:rFonts w:ascii="Arial" w:eastAsia="Times New Roman" w:hAnsi="Arial" w:cs="Arial"/>
          <w:color w:val="8100A6"/>
          <w:sz w:val="18"/>
          <w:u w:val="single"/>
          <w:lang w:eastAsia="ru-RU"/>
        </w:rPr>
        <w:t>[1]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fldChar w:fldCharType="end"/>
      </w:r>
      <w:bookmarkEnd w:id="0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Согласно п. 2.2 СП 2.5.3157-14 не менее чем за 3 суток до начала поездки организаторы обязаны сообщить органам </w:t>
      </w:r>
      <w:proofErr w:type="spell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Роспотребнадзора</w:t>
      </w:r>
      <w:proofErr w:type="spell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информацию о планируемых сроках отправки группы детей и ее численности. Форма предоставления этой информации согласно приложению 1 к СП 2.5.3157-14 приведена в примере.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Одно из главных требований санитарно-эпидемиологической безопасности — наличие у каждого ребенка, включенного в состав группы, медицинской справки об отсутствии контакта с инфекционными больными, </w:t>
      </w: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оформленная</w:t>
      </w:r>
      <w:proofErr w:type="gram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не более чем за 3 дня до отъезда. Не допускается посадка в поезд больных детей. При выявлении у ребенка до выезда, во время посадки или в пути следования симптомов заболевания в острой форме принимаются меры по его госпитализации.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 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jc w:val="center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 xml:space="preserve">Форма предоставления информации в органы </w:t>
      </w:r>
      <w:proofErr w:type="spellStart"/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Роспотребнадзора</w:t>
      </w:r>
      <w:proofErr w:type="spellEnd"/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 xml:space="preserve"> о выезде железнодорожным транспортом организованных групп детей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 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jc w:val="center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Информация о выезде железнодорожным транспортом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br/>
      </w: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организованных групп детей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 </w:t>
      </w:r>
    </w:p>
    <w:tbl>
      <w:tblPr>
        <w:tblW w:w="810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6"/>
        <w:gridCol w:w="3782"/>
        <w:gridCol w:w="3744"/>
      </w:tblGrid>
      <w:tr w:rsidR="00113395" w:rsidRPr="00113395" w:rsidTr="00113395">
        <w:trPr>
          <w:trHeight w:val="338"/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Подлежит заполнению</w:t>
            </w:r>
          </w:p>
        </w:tc>
      </w:tr>
      <w:tr w:rsidR="00113395" w:rsidRPr="00113395" w:rsidTr="00113395">
        <w:trPr>
          <w:trHeight w:val="338"/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отдыха (учреждение, фирма, фонд, организация)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3395" w:rsidRPr="00113395" w:rsidTr="00113395">
        <w:trPr>
          <w:trHeight w:val="338"/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 организатора отдыха детей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3395" w:rsidRPr="00113395" w:rsidTr="00113395">
        <w:trPr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выезда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3395" w:rsidRPr="00113395" w:rsidTr="00113395">
        <w:trPr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отправления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3395" w:rsidRPr="00113395" w:rsidTr="00113395">
        <w:trPr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 №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3395" w:rsidRPr="00113395" w:rsidTr="00113395">
        <w:trPr>
          <w:trHeight w:val="338"/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вагона (межобластной, спальный, купейный, мягкий)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3395" w:rsidRPr="00113395" w:rsidTr="00113395">
        <w:trPr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3395" w:rsidRPr="00113395" w:rsidTr="00113395">
        <w:trPr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сопровождающих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3395" w:rsidRPr="00113395" w:rsidTr="00113395">
        <w:trPr>
          <w:trHeight w:val="501"/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медицинского сопровождения (количество врачей, среднего медицинского персонала)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3395" w:rsidRPr="00113395" w:rsidTr="00113395">
        <w:trPr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назначения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3395" w:rsidRPr="00113395" w:rsidTr="00113395">
        <w:trPr>
          <w:trHeight w:val="338"/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конечного пункта назначения (детское оздоровительное учреждение, образовательная организация)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3395" w:rsidRPr="00113395" w:rsidTr="00113395">
        <w:trPr>
          <w:trHeight w:val="501"/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тип питания в пути следования (вагон-ресторан, пассажирский вагон)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95" w:rsidRPr="00113395" w:rsidRDefault="00113395" w:rsidP="00113395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 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Руководитель,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организующий</w:t>
      </w:r>
      <w:proofErr w:type="gram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поездку        ______________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 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М. П.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 </w:t>
      </w:r>
    </w:p>
    <w:p w:rsidR="00113395" w:rsidRPr="00113395" w:rsidRDefault="00113395" w:rsidP="00113395">
      <w:pPr>
        <w:shd w:val="clear" w:color="auto" w:fill="FFFFFF"/>
        <w:spacing w:before="456" w:after="120" w:line="240" w:lineRule="auto"/>
        <w:outlineLvl w:val="3"/>
        <w:rPr>
          <w:rFonts w:ascii="Arial" w:eastAsia="Times New Roman" w:hAnsi="Arial" w:cs="Arial"/>
          <w:caps/>
          <w:color w:val="000000"/>
          <w:spacing w:val="24"/>
          <w:sz w:val="24"/>
          <w:szCs w:val="24"/>
          <w:lang w:eastAsia="ru-RU"/>
        </w:rPr>
      </w:pPr>
      <w:r w:rsidRPr="00113395">
        <w:rPr>
          <w:rFonts w:ascii="Arial" w:eastAsia="Times New Roman" w:hAnsi="Arial" w:cs="Arial"/>
          <w:caps/>
          <w:color w:val="000000"/>
          <w:spacing w:val="24"/>
          <w:sz w:val="24"/>
          <w:szCs w:val="24"/>
          <w:lang w:eastAsia="ru-RU"/>
        </w:rPr>
        <w:t>СОПРОВОЖДЕНИЕ ОРГАНИЗОВАННЫХ ГРУПП ДЕТЕЙ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СП 2.5.3157-14 регламентируют и вопросы сопровождения детей педагогическими работниками, родителями и другими взрослыми, а также медицинскими работниками. Так, на группу из 8–12 детей полагается 1 сопровождающий (педагог, воспитатель, тренер, родитель и др.). Группе детей в количестве более 30 человек, </w:t>
      </w: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которая</w:t>
      </w:r>
      <w:proofErr w:type="gram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планирует находиться в пути свыше 12 часов, необходимо организовать сопровождение медицинским работником или лицом, прошедшим подготовку по оказанию первой медицинской помощи в соответствии с установленным порядком. В тех случаях, когда железнодорожные перевозки организованных групп детей осуществляются специализированным подвижным составом, предназначенным для этих целей, детям обеспечивается сопровождение квалифицированного медицинского работника (врача).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СП 2.5.3157-14 также определяют</w:t>
      </w: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 основные гигиенические и противоэпидемические мероприятия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, которые проводятся медицинскими работниками при перевозке организованных групп детей. </w:t>
      </w: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Среди них отметим следующие:</w:t>
      </w:r>
      <w:proofErr w:type="gramEnd"/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взаимодействие с начальником пассажирского поезда, органами государственного санитарно-эпидемиологического надзора;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– </w:t>
      </w: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контроль за</w:t>
      </w:r>
      <w:proofErr w:type="gram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соблюдением детьми правил личной гигиены;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– </w:t>
      </w: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контроль за</w:t>
      </w:r>
      <w:proofErr w:type="gram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организацией питьевого режима и питанием детей;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контроль состояния здоровья детей, входящих в организованные группы;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опрос о состоянии здоровья детей перед посадкой в поезд;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lastRenderedPageBreak/>
        <w:t>– проверка наличия медицинских справок об отсутствии у детей контакта с инфекционными больными;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– принятие решения </w:t>
      </w: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об отстранении от посадки в поезд детей с явными признаками заболевания в острой форме</w:t>
      </w:r>
      <w:proofErr w:type="gram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оказание медицинской помощи заболевшим детям в пути следования;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своевременная изоляция инфекционных больных детей от здоровых и организация госпитализации больных;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опрос и составление списка детей, контактировавших с больными детьми.</w:t>
      </w:r>
    </w:p>
    <w:p w:rsidR="00113395" w:rsidRPr="00113395" w:rsidRDefault="00113395" w:rsidP="00113395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При выявлении инфекционного больного или при подозрении на инфекционное заболевание, пищевое отравление у ребенка медицинский работник совместно с проводником вагона изолирует заболевших и немедленно сообщает о произошедшем в ближайший по маршруту следования медицинский пункт вокзала и орган </w:t>
      </w:r>
      <w:proofErr w:type="spell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Роспотребнадзора</w:t>
      </w:r>
      <w:proofErr w:type="spell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.</w:t>
      </w:r>
      <w:proofErr w:type="gram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Совместно с сопровождающими лицами медицинский работник проверяет обеспеченность детей постельными принадлежностями и постельным бельем, проводит беседы с детьми о профилактике инфекционных заболеваний и пищевых отравлениях, о соблюдении правил личной гигиены.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 </w:t>
      </w:r>
    </w:p>
    <w:p w:rsidR="00113395" w:rsidRPr="00113395" w:rsidRDefault="00113395" w:rsidP="00113395">
      <w:pPr>
        <w:shd w:val="clear" w:color="auto" w:fill="FFFFFF"/>
        <w:spacing w:before="456" w:after="120" w:line="240" w:lineRule="auto"/>
        <w:outlineLvl w:val="3"/>
        <w:rPr>
          <w:rFonts w:ascii="Arial" w:eastAsia="Times New Roman" w:hAnsi="Arial" w:cs="Arial"/>
          <w:caps/>
          <w:color w:val="000000"/>
          <w:spacing w:val="24"/>
          <w:sz w:val="24"/>
          <w:szCs w:val="24"/>
          <w:lang w:eastAsia="ru-RU"/>
        </w:rPr>
      </w:pPr>
      <w:r w:rsidRPr="00113395">
        <w:rPr>
          <w:rFonts w:ascii="Arial" w:eastAsia="Times New Roman" w:hAnsi="Arial" w:cs="Arial"/>
          <w:caps/>
          <w:color w:val="000000"/>
          <w:spacing w:val="24"/>
          <w:sz w:val="24"/>
          <w:szCs w:val="24"/>
          <w:lang w:eastAsia="ru-RU"/>
        </w:rPr>
        <w:t>ПИТАНИЕ В ПУТИ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Раздел III СП 2.5.3157-14 содержит свод требований к организации питания детей в пути следования.</w:t>
      </w: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 Кратность приема пищи определяется 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продолжительностью поездки, зависит от времени суток и физиологических потребностей детей. Интервалы между приемами пищи не должны превышать 4 часов в дневное время суток. Если поездка длиться более суток, необходима организация полноценного горячего питания. В меню включаются супы, гарниры, рыбные или мясные блюда. В тех случаях, когда дети находятся в пути менее суток, питание организуют с учетом</w:t>
      </w: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 примерного перечня продуктов для организации питания детей и подростков при перевозке их железнодорожным транспортом менее 24 часов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, приведенного в приложении 1 к СП 2.5.3157-14. В данный перечень включены следующие позиции: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1. Хлебобулочные и кондитерские изделия без крема: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изделия хлебобулочные сдобные мелкоштучные в ассортименте из пшеничной муки высшего сорта в упаковке промышленной индивидуальной, расфасованные до 150 г;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изделия хлебобулочные слоеные в ассортименте в упаковке промышленной индивидуальной, расфасованные до 150 г;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сухари, сушки, пряники в вакуумной упаковке промышленного производства, расфасованные по 150–300 г;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печенье, вафли в ассортименте в вакуумной упаковке промышленного производства для одноразового использования, предусматривающей возможность длительного хранения при комнатной температуре, расфасованные по 25, 50, 100 г;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кексы в упаковке промышленной индивидуальной, расфасованные по 50–75 г;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коржи молочные в упаковке промышленной индивидуальной, расфасованные по 50–100 г и другие изделия.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2. Молоко с длительным сроком годности 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(более 10 дней) в одноразовой упаковке промышленного производства, позволяющей хранение при комнатной температуре объемом 150–250 мл.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3. Сырок плавленый 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в промышленной упаковке весом 25–50 г.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 xml:space="preserve">4 . </w:t>
      </w:r>
      <w:proofErr w:type="gramStart"/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Сахар</w:t>
      </w:r>
      <w:proofErr w:type="gramEnd"/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 xml:space="preserve"> пакетированный 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в одноразовой упаковке.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5. Чай пакетированный 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в одноразовой упаковке (без </w:t>
      </w:r>
      <w:proofErr w:type="spell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ароматизаторов</w:t>
      </w:r>
      <w:proofErr w:type="spell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и пищевых добавок).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6. Вода минеральная негазированная 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в промышленной упаковке объемом до 0,5 л.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7. Фруктовые соки, нектары промышленного производства 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в одноразовой упаковке, предусматривающей возможность длительного хранения при комнатной температуре, объемом 150–200 мл.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 xml:space="preserve">8. </w:t>
      </w:r>
      <w:proofErr w:type="gramStart"/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Фрукты свежие 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(яблоки, груши, бананы, мандарины), готовые к употреблению, в упаковке, предварительно вымытые и просушенные.</w:t>
      </w:r>
      <w:proofErr w:type="gramEnd"/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9. Орехи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, готовые к употреблению, в упаковке промышленного производства, расфасованные по 10–25 г.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Полноценное горячее питание может быть организовано в вагонах-ресторанах или по месту размещения групп детей в пассажирских вагонах. В целях предупреждения пищевых отравлений в рацион питания не включают скоропортящиеся продукты, а также продукты, которые запрещены санитарно-эпидемиологическими требованиями к организации питания обучающихся в общеобразовательных организациях, организациях начального и среднего образования. Согласно приложению 7 к </w:t>
      </w:r>
      <w:proofErr w:type="spell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СанПиН</w:t>
      </w:r>
      <w:proofErr w:type="spell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2.4.5.2409-08 «Санитарно-эпидемиологические требования к организации питания обучающихся в 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lastRenderedPageBreak/>
        <w:t>общеобразовательных учреждениях, учреждениях начального и среднего профессионального образования»</w:t>
      </w:r>
      <w:bookmarkStart w:id="1" w:name="_ftnref2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fldChar w:fldCharType="begin"/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instrText xml:space="preserve"> HYPERLINK "https://www.profiz.ru/sec/4_2014/perevozka_detei_jd/" \l "_ftn2" \o "" </w:instrTex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fldChar w:fldCharType="separate"/>
      </w:r>
      <w:r w:rsidRPr="00113395">
        <w:rPr>
          <w:rFonts w:ascii="Arial" w:eastAsia="Times New Roman" w:hAnsi="Arial" w:cs="Arial"/>
          <w:color w:val="8100A6"/>
          <w:sz w:val="18"/>
          <w:u w:val="single"/>
          <w:lang w:eastAsia="ru-RU"/>
        </w:rPr>
        <w:t>[2]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fldChar w:fldCharType="end"/>
      </w:r>
      <w:bookmarkEnd w:id="1"/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 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в рацион питания детей в пути следования железнодорожным транспортом не допускается включать следующие продукты и блюда: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пищевые продукты с истекшими сроками годности и признаками недоброкачественности;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остатки пищи от предыдущего приема и пища, приготовленная накануне;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мясо, субпродукты всех видов сельскохозяйственных животных, рыбу, сельскохозяйственную птицу, не прошедшие ветеринарный контроль;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субпродукты, кроме печени, языка, сердца; непотрошеную птицу;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мясо диких животных; яйца и мясо водоплавающих птиц;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яйца с загрязненной скорлупой, с насечкой, «тек», «бой», а также яйца из хозяйств, неблагополучных по сальмонеллезам;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– консервы с нарушением герметичности банок, </w:t>
      </w:r>
      <w:proofErr w:type="spell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бомбажные</w:t>
      </w:r>
      <w:proofErr w:type="spell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, «</w:t>
      </w:r>
      <w:proofErr w:type="spell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хлопуши</w:t>
      </w:r>
      <w:proofErr w:type="spell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», банки с ржавчиной, деформированные, без этикеток;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крупу, муку, сухофрукты и другие продукты, загрязненные различными примесями или зараженные амбарными вредителями;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любые пищевые продукты домашнего (не промышленного) изготовления.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– зельцы, изделия из мясной </w:t>
      </w:r>
      <w:proofErr w:type="spell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обрези</w:t>
      </w:r>
      <w:proofErr w:type="spell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, диафрагмы; рулеты из мякоти голов, кровяные и ливерные колбасы;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– творог из </w:t>
      </w:r>
      <w:proofErr w:type="spell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непастеризованного</w:t>
      </w:r>
      <w:proofErr w:type="spell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молока, фляжный творог, фляжную сметану без термической обработки; простокваш</w:t>
      </w: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у-</w:t>
      </w:r>
      <w:proofErr w:type="gram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«</w:t>
      </w:r>
      <w:proofErr w:type="spell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самоквас</w:t>
      </w:r>
      <w:proofErr w:type="spell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»; молочные продукты и мороженое на основе растительных жиров; 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грибы и продукты (кулинарные изделия), из них приготовленные;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сырокопченые мясные гастрономические изделия и колбасы;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– блюда, изготовленные из мяса, птицы, рыбы, не </w:t>
      </w: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прошедших</w:t>
      </w:r>
      <w:proofErr w:type="gram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тепловую обработку;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жареные во фритюре пищевые продукты и изделия;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пищевые продукты, не предусмотренные в рекомендуемом ассортименте пищевых продуктов для организации дополнительного питания (</w:t>
      </w: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см</w:t>
      </w:r>
      <w:proofErr w:type="gram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. приложение 9 к </w:t>
      </w:r>
      <w:proofErr w:type="spell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СанПиН</w:t>
      </w:r>
      <w:proofErr w:type="spell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2.4.5.2409-08);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уксус, горчица, хрен, перец острый (красный, черный) и другие острые (жгучие) приправы; острые соусы, кетчупы, майонез, закусочные консервы, маринованные овощи и фрукты;</w:t>
      </w:r>
      <w:proofErr w:type="gramEnd"/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газированные напитки; квас; холодные напитки и морсы (без термической обработки) из плодово-ягодного сырья; кофе натуральный; тонизирующие, в т. ч. энергетические напитки; алкоголь; кумыс и другие кисломолочные продукты с содержанием этанола (более 0,5 %);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– кулинарные жиры, свиное или баранье сало, маргарин и другие </w:t>
      </w:r>
      <w:proofErr w:type="spell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гидрогенизированные</w:t>
      </w:r>
      <w:proofErr w:type="spell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жиры;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кремовые кондитерские изделия (пирожные и торты); жевательную резинку; карамель, в т. ч. леденцовую; ядро абрикосовой косточки, арахис;</w:t>
      </w:r>
      <w:proofErr w:type="gramEnd"/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заливные блюда (мясные и рыбные), студни, форшмак из сельди;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– первые и вторые блюда </w:t>
      </w: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из</w:t>
      </w:r>
      <w:proofErr w:type="gram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(</w:t>
      </w: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на</w:t>
      </w:r>
      <w:proofErr w:type="gram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) основе сухих пищевых концентратов быстрого приготовления; окрошки и холодные супы;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– макароны по-флотски (с мясным фаршем), макароны с рубленым яйцом; яичницу-глазунью; паштеты и блинчики с мясом и с творогом.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При организации горячего питания</w:t>
      </w:r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 распределение общей калорийности суточного рациона 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должно быть следующим: завтрак — 25–30 %, обед — 35–45 %, ужин — 25–30 %. Рекомендуемая усредненная величина калорийности в день для детей до 10 лет составляет 2100 ккал/день, для детей от 11 и старше — 2550 ккал/день. Рекомендуемое соотношение белков, жиров и углеводов — 1:1:4.</w:t>
      </w:r>
    </w:p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Питьевая вода, в т. ч. расфасованная в емкости и </w:t>
      </w:r>
      <w:proofErr w:type="spell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бутилированная</w:t>
      </w:r>
      <w:proofErr w:type="spell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, по качеству и безопасности должна отвечать гигиеническим требованиям, предъявляемым к питьевой воде. Дети обеспечиваются питьевой водой не только в пути следования железнодорожным транспортом, но и при доставке их от вокзала до мест назначения и обратно, а также при нахождении организованных групп детей на вокзале.</w:t>
      </w:r>
    </w:p>
    <w:p w:rsidR="00113395" w:rsidRPr="00113395" w:rsidRDefault="00113395" w:rsidP="001133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 </w:t>
      </w:r>
    </w:p>
    <w:p w:rsidR="00113395" w:rsidRPr="00113395" w:rsidRDefault="00113395" w:rsidP="00113395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pict>
          <v:rect id="_x0000_i1025" style="width:0;height:.65pt" o:hralign="center" o:hrstd="t" o:hr="t" fillcolor="#a0a0a0" stroked="f"/>
        </w:pict>
      </w:r>
    </w:p>
    <w:bookmarkStart w:id="2" w:name="_ftn1"/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lastRenderedPageBreak/>
        <w:fldChar w:fldCharType="begin"/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instrText xml:space="preserve"> HYPERLINK "https://www.profiz.ru/sec/4_2014/perevozka_detei_jd/" \l "_ftnref1" \o "" </w:instrTex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fldChar w:fldCharType="separate"/>
      </w:r>
      <w:r w:rsidRPr="00113395">
        <w:rPr>
          <w:rFonts w:ascii="Arial" w:eastAsia="Times New Roman" w:hAnsi="Arial" w:cs="Arial"/>
          <w:color w:val="8100A6"/>
          <w:sz w:val="18"/>
          <w:u w:val="single"/>
          <w:lang w:eastAsia="ru-RU"/>
        </w:rPr>
        <w:t>[1]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fldChar w:fldCharType="end"/>
      </w:r>
      <w:bookmarkEnd w:id="2"/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 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СП 2.5.1198-03 «Санитарные правила по организации пассажирских перевозок на железнодорожном транспорте», утвержденные Постановлением Главного государственного санитарного врача РФ от 04.03.2003 № 12 (в ред. от 16.06.2010).</w:t>
      </w:r>
    </w:p>
    <w:bookmarkStart w:id="3" w:name="_ftn2"/>
    <w:p w:rsidR="00113395" w:rsidRPr="00113395" w:rsidRDefault="00113395" w:rsidP="00113395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fldChar w:fldCharType="begin"/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instrText xml:space="preserve"> HYPERLINK "https://www.profiz.ru/sec/4_2014/perevozka_detei_jd/" \l "_ftnref2" \o "" </w:instrTex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fldChar w:fldCharType="separate"/>
      </w:r>
      <w:r w:rsidRPr="00113395">
        <w:rPr>
          <w:rFonts w:ascii="Arial" w:eastAsia="Times New Roman" w:hAnsi="Arial" w:cs="Arial"/>
          <w:color w:val="8100A6"/>
          <w:sz w:val="18"/>
          <w:u w:val="single"/>
          <w:lang w:eastAsia="ru-RU"/>
        </w:rPr>
        <w:t>[2]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fldChar w:fldCharType="end"/>
      </w:r>
      <w:bookmarkEnd w:id="3"/>
      <w:r w:rsidRPr="00113395">
        <w:rPr>
          <w:rFonts w:ascii="Arial" w:eastAsia="Times New Roman" w:hAnsi="Arial" w:cs="Arial"/>
          <w:color w:val="525252"/>
          <w:sz w:val="18"/>
          <w:lang w:eastAsia="ru-RU"/>
        </w:rPr>
        <w:t> </w:t>
      </w: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Утверждены Постановлением Главного государственного санитарного врача РФ от 23.07.2008 № 45.</w:t>
      </w:r>
    </w:p>
    <w:p w:rsidR="00113395" w:rsidRPr="00113395" w:rsidRDefault="00113395" w:rsidP="00113395">
      <w:pPr>
        <w:shd w:val="clear" w:color="auto" w:fill="FFFFFF"/>
        <w:spacing w:before="250" w:after="144" w:line="240" w:lineRule="auto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Степанова М. И., зав. лабораторией обучения и воспитания НИИ гигиены и охраны здоровья детей и подростков ФБГУ «Научный центр здоровья детей» РАМН, д-р мед</w:t>
      </w: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.</w:t>
      </w:r>
      <w:proofErr w:type="gram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</w:t>
      </w:r>
      <w:proofErr w:type="gramStart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н</w:t>
      </w:r>
      <w:proofErr w:type="gramEnd"/>
      <w:r w:rsidRPr="00113395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аук</w:t>
      </w:r>
    </w:p>
    <w:p w:rsidR="00113395" w:rsidRPr="00113395" w:rsidRDefault="00113395" w:rsidP="00113395">
      <w:pPr>
        <w:shd w:val="clear" w:color="auto" w:fill="FFFFFF"/>
        <w:spacing w:before="250" w:after="144" w:line="240" w:lineRule="auto"/>
        <w:rPr>
          <w:rFonts w:ascii="Arial" w:eastAsia="Times New Roman" w:hAnsi="Arial" w:cs="Arial"/>
          <w:i/>
          <w:iCs/>
          <w:color w:val="525252"/>
          <w:sz w:val="18"/>
          <w:szCs w:val="18"/>
          <w:lang w:eastAsia="ru-RU"/>
        </w:rPr>
      </w:pPr>
      <w:r w:rsidRPr="00113395">
        <w:rPr>
          <w:rFonts w:ascii="Arial" w:eastAsia="Times New Roman" w:hAnsi="Arial" w:cs="Arial"/>
          <w:i/>
          <w:iCs/>
          <w:color w:val="525252"/>
          <w:sz w:val="18"/>
          <w:szCs w:val="18"/>
          <w:lang w:eastAsia="ru-RU"/>
        </w:rPr>
        <w:t>Статья опубликована в журнале</w:t>
      </w:r>
      <w:r w:rsidRPr="00113395">
        <w:rPr>
          <w:rFonts w:ascii="Arial" w:eastAsia="Times New Roman" w:hAnsi="Arial" w:cs="Arial"/>
          <w:i/>
          <w:iCs/>
          <w:color w:val="525252"/>
          <w:sz w:val="18"/>
          <w:lang w:eastAsia="ru-RU"/>
        </w:rPr>
        <w:t> </w:t>
      </w:r>
      <w:hyperlink r:id="rId6" w:history="1">
        <w:r w:rsidRPr="00113395">
          <w:rPr>
            <w:rFonts w:ascii="Arial" w:eastAsia="Times New Roman" w:hAnsi="Arial" w:cs="Arial"/>
            <w:i/>
            <w:iCs/>
            <w:color w:val="8100A6"/>
            <w:sz w:val="18"/>
            <w:u w:val="single"/>
            <w:lang w:eastAsia="ru-RU"/>
          </w:rPr>
          <w:t>«</w:t>
        </w:r>
        <w:proofErr w:type="spellStart"/>
        <w:r w:rsidRPr="00113395">
          <w:rPr>
            <w:rFonts w:ascii="Arial" w:eastAsia="Times New Roman" w:hAnsi="Arial" w:cs="Arial"/>
            <w:i/>
            <w:iCs/>
            <w:color w:val="8100A6"/>
            <w:sz w:val="18"/>
            <w:u w:val="single"/>
            <w:lang w:eastAsia="ru-RU"/>
          </w:rPr>
          <w:t>Санэпидконтроль</w:t>
        </w:r>
        <w:proofErr w:type="spellEnd"/>
        <w:r w:rsidRPr="00113395">
          <w:rPr>
            <w:rFonts w:ascii="Arial" w:eastAsia="Times New Roman" w:hAnsi="Arial" w:cs="Arial"/>
            <w:i/>
            <w:iCs/>
            <w:color w:val="8100A6"/>
            <w:sz w:val="18"/>
            <w:u w:val="single"/>
            <w:lang w:eastAsia="ru-RU"/>
          </w:rPr>
          <w:t>. Охрана труда» № 4, 2014</w:t>
        </w:r>
      </w:hyperlink>
      <w:r w:rsidRPr="00113395">
        <w:rPr>
          <w:rFonts w:ascii="Arial" w:eastAsia="Times New Roman" w:hAnsi="Arial" w:cs="Arial"/>
          <w:i/>
          <w:iCs/>
          <w:color w:val="525252"/>
          <w:sz w:val="18"/>
          <w:szCs w:val="18"/>
          <w:lang w:eastAsia="ru-RU"/>
        </w:rPr>
        <w:t>.</w:t>
      </w:r>
    </w:p>
    <w:p w:rsidR="000E0466" w:rsidRDefault="000E0466"/>
    <w:sectPr w:rsidR="000E0466" w:rsidSect="000E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3395"/>
    <w:rsid w:val="00001032"/>
    <w:rsid w:val="00006730"/>
    <w:rsid w:val="0002141F"/>
    <w:rsid w:val="00052D46"/>
    <w:rsid w:val="00063135"/>
    <w:rsid w:val="000E0466"/>
    <w:rsid w:val="00113395"/>
    <w:rsid w:val="00135117"/>
    <w:rsid w:val="00145487"/>
    <w:rsid w:val="001578B3"/>
    <w:rsid w:val="001A0756"/>
    <w:rsid w:val="001A3BBF"/>
    <w:rsid w:val="00264249"/>
    <w:rsid w:val="002C4179"/>
    <w:rsid w:val="002F54E8"/>
    <w:rsid w:val="0035719F"/>
    <w:rsid w:val="003632EF"/>
    <w:rsid w:val="003B6989"/>
    <w:rsid w:val="004F712B"/>
    <w:rsid w:val="0057171A"/>
    <w:rsid w:val="00577774"/>
    <w:rsid w:val="00617271"/>
    <w:rsid w:val="006260DA"/>
    <w:rsid w:val="00653503"/>
    <w:rsid w:val="00693412"/>
    <w:rsid w:val="006C0BC4"/>
    <w:rsid w:val="006F4879"/>
    <w:rsid w:val="00745614"/>
    <w:rsid w:val="007E31F4"/>
    <w:rsid w:val="007E4F0F"/>
    <w:rsid w:val="00801DA2"/>
    <w:rsid w:val="00830600"/>
    <w:rsid w:val="00893BBE"/>
    <w:rsid w:val="009C7B1C"/>
    <w:rsid w:val="009D69C7"/>
    <w:rsid w:val="00A8213C"/>
    <w:rsid w:val="00AD129B"/>
    <w:rsid w:val="00AD2CDF"/>
    <w:rsid w:val="00B51ACF"/>
    <w:rsid w:val="00C56E02"/>
    <w:rsid w:val="00CD5DD2"/>
    <w:rsid w:val="00DF5697"/>
    <w:rsid w:val="00E418AA"/>
    <w:rsid w:val="00EF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66"/>
  </w:style>
  <w:style w:type="paragraph" w:styleId="1">
    <w:name w:val="heading 1"/>
    <w:basedOn w:val="a"/>
    <w:link w:val="10"/>
    <w:uiPriority w:val="9"/>
    <w:qFormat/>
    <w:rsid w:val="001133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133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3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3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1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33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3395"/>
  </w:style>
  <w:style w:type="character" w:customStyle="1" w:styleId="b-share-form-button">
    <w:name w:val="b-share-form-button"/>
    <w:basedOn w:val="a0"/>
    <w:rsid w:val="00113395"/>
  </w:style>
  <w:style w:type="character" w:styleId="a5">
    <w:name w:val="Strong"/>
    <w:basedOn w:val="a0"/>
    <w:uiPriority w:val="22"/>
    <w:qFormat/>
    <w:rsid w:val="00113395"/>
    <w:rPr>
      <w:b/>
      <w:bCs/>
    </w:rPr>
  </w:style>
  <w:style w:type="character" w:styleId="a6">
    <w:name w:val="Emphasis"/>
    <w:basedOn w:val="a0"/>
    <w:uiPriority w:val="20"/>
    <w:qFormat/>
    <w:rsid w:val="00113395"/>
    <w:rPr>
      <w:i/>
      <w:iCs/>
    </w:rPr>
  </w:style>
  <w:style w:type="paragraph" w:customStyle="1" w:styleId="author-name">
    <w:name w:val="author-name"/>
    <w:basedOn w:val="a"/>
    <w:rsid w:val="0011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095">
              <w:marLeft w:val="0"/>
              <w:marRight w:val="0"/>
              <w:marTop w:val="0"/>
              <w:marBottom w:val="0"/>
              <w:divBdr>
                <w:top w:val="single" w:sz="4" w:space="3" w:color="CCCCCC"/>
                <w:left w:val="single" w:sz="4" w:space="6" w:color="CCCCCC"/>
                <w:bottom w:val="single" w:sz="4" w:space="3" w:color="CCCCCC"/>
                <w:right w:val="single" w:sz="4" w:space="6" w:color="CCCCCC"/>
              </w:divBdr>
            </w:div>
            <w:div w:id="20246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fiz.ru/sec/4_2014/" TargetMode="External"/><Relationship Id="rId5" Type="http://schemas.openxmlformats.org/officeDocument/2006/relationships/hyperlink" Target="https://www.profiz.ru/sec/rubric/114/" TargetMode="External"/><Relationship Id="rId4" Type="http://schemas.openxmlformats.org/officeDocument/2006/relationships/hyperlink" Target="https://www.profiz.ru/sec/4_20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1948</Words>
  <Characters>11107</Characters>
  <Application>Microsoft Office Word</Application>
  <DocSecurity>0</DocSecurity>
  <Lines>92</Lines>
  <Paragraphs>26</Paragraphs>
  <ScaleCrop>false</ScaleCrop>
  <Company>diakov.net</Company>
  <LinksUpToDate>false</LinksUpToDate>
  <CharactersWithSpaces>13029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2</cp:revision>
  <dcterms:created xsi:type="dcterms:W3CDTF">2017-06-14T08:14:00Z</dcterms:created>
  <dcterms:modified xsi:type="dcterms:W3CDTF">2017-06-14T08:15:00Z</dcterms:modified>
</cp:coreProperties>
</file>